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100F" w14:textId="405C30F1" w:rsidR="00A55A6C" w:rsidRPr="002A68E0" w:rsidRDefault="00A55A6C" w:rsidP="001A00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sz w:val="20"/>
          <w:szCs w:val="20"/>
          <w:lang w:val="en-US"/>
        </w:rPr>
      </w:pPr>
      <w:r w:rsidRPr="002A68E0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Kimble </w:t>
      </w:r>
      <w:proofErr w:type="spellStart"/>
      <w:r w:rsidR="001A005D" w:rsidRPr="002A68E0">
        <w:rPr>
          <w:rFonts w:asciiTheme="majorHAnsi" w:hAnsiTheme="majorHAnsi" w:cs="Calibri"/>
          <w:b/>
          <w:bCs/>
          <w:sz w:val="20"/>
          <w:szCs w:val="20"/>
          <w:lang w:val="en-US"/>
        </w:rPr>
        <w:t>N</w:t>
      </w:r>
      <w:r w:rsidR="00CE1E48">
        <w:rPr>
          <w:rFonts w:asciiTheme="majorHAnsi" w:hAnsiTheme="majorHAnsi" w:cs="Calibri"/>
          <w:b/>
          <w:bCs/>
          <w:sz w:val="20"/>
          <w:szCs w:val="20"/>
          <w:lang w:val="en-US"/>
        </w:rPr>
        <w:t>eighbourhood</w:t>
      </w:r>
      <w:proofErr w:type="spellEnd"/>
      <w:r w:rsidR="00CE1E48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 Plan </w:t>
      </w:r>
      <w:r w:rsidRPr="002A68E0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Working Group Meeting: </w:t>
      </w:r>
      <w:r w:rsidR="00485005" w:rsidRPr="002A68E0">
        <w:rPr>
          <w:rFonts w:asciiTheme="majorHAnsi" w:hAnsiTheme="majorHAnsi" w:cs="Calibri"/>
          <w:b/>
          <w:bCs/>
          <w:sz w:val="20"/>
          <w:szCs w:val="20"/>
          <w:lang w:val="en-US"/>
        </w:rPr>
        <w:t>Minutes</w:t>
      </w:r>
    </w:p>
    <w:p w14:paraId="609DE8D6" w14:textId="03FBCA16" w:rsidR="00A55A6C" w:rsidRPr="002A68E0" w:rsidRDefault="00A55A6C" w:rsidP="00E7429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0"/>
          <w:szCs w:val="20"/>
          <w:lang w:val="en-US"/>
        </w:rPr>
      </w:pPr>
      <w:r w:rsidRPr="002A68E0">
        <w:rPr>
          <w:rFonts w:asciiTheme="majorHAnsi" w:hAnsiTheme="majorHAnsi" w:cs="Calibri"/>
          <w:sz w:val="20"/>
          <w:szCs w:val="20"/>
          <w:lang w:val="en-US"/>
        </w:rPr>
        <w:t xml:space="preserve">Date </w:t>
      </w:r>
      <w:r w:rsidR="006E7E3F">
        <w:rPr>
          <w:rFonts w:asciiTheme="majorHAnsi" w:hAnsiTheme="majorHAnsi" w:cs="Calibri"/>
          <w:sz w:val="20"/>
          <w:szCs w:val="20"/>
          <w:lang w:val="en-US"/>
        </w:rPr>
        <w:t>1</w:t>
      </w:r>
      <w:r w:rsidR="00075E82">
        <w:rPr>
          <w:rFonts w:asciiTheme="majorHAnsi" w:hAnsiTheme="majorHAnsi" w:cs="Calibri"/>
          <w:sz w:val="20"/>
          <w:szCs w:val="20"/>
          <w:lang w:val="en-US"/>
        </w:rPr>
        <w:t>9</w:t>
      </w:r>
      <w:r w:rsidRPr="002A68E0">
        <w:rPr>
          <w:rFonts w:asciiTheme="majorHAnsi" w:hAnsiTheme="majorHAnsi" w:cs="Calibri"/>
          <w:sz w:val="20"/>
          <w:szCs w:val="20"/>
          <w:lang w:val="en-US"/>
        </w:rPr>
        <w:t>/</w:t>
      </w:r>
      <w:r w:rsidR="00E03529">
        <w:rPr>
          <w:rFonts w:asciiTheme="majorHAnsi" w:hAnsiTheme="majorHAnsi" w:cs="Calibri"/>
          <w:sz w:val="20"/>
          <w:szCs w:val="20"/>
          <w:lang w:val="en-US"/>
        </w:rPr>
        <w:t>0</w:t>
      </w:r>
      <w:r w:rsidR="00075E82">
        <w:rPr>
          <w:rFonts w:asciiTheme="majorHAnsi" w:hAnsiTheme="majorHAnsi" w:cs="Calibri"/>
          <w:sz w:val="20"/>
          <w:szCs w:val="20"/>
          <w:lang w:val="en-US"/>
        </w:rPr>
        <w:t>6</w:t>
      </w:r>
      <w:r w:rsidRPr="002A68E0">
        <w:rPr>
          <w:rFonts w:asciiTheme="majorHAnsi" w:hAnsiTheme="majorHAnsi" w:cs="Calibri"/>
          <w:sz w:val="20"/>
          <w:szCs w:val="20"/>
          <w:lang w:val="en-US"/>
        </w:rPr>
        <w:t>/</w:t>
      </w:r>
      <w:r w:rsidR="00A57012" w:rsidRPr="002A68E0">
        <w:rPr>
          <w:rFonts w:asciiTheme="majorHAnsi" w:hAnsiTheme="majorHAnsi" w:cs="Calibri"/>
          <w:sz w:val="20"/>
          <w:szCs w:val="20"/>
          <w:lang w:val="en-US"/>
        </w:rPr>
        <w:t>201</w:t>
      </w:r>
      <w:r w:rsidR="00A57012">
        <w:rPr>
          <w:rFonts w:asciiTheme="majorHAnsi" w:hAnsiTheme="majorHAnsi" w:cs="Calibri"/>
          <w:sz w:val="20"/>
          <w:szCs w:val="20"/>
          <w:lang w:val="en-US"/>
        </w:rPr>
        <w:t>9</w:t>
      </w:r>
    </w:p>
    <w:p w14:paraId="24FA4E55" w14:textId="04535322" w:rsidR="00A55A6C" w:rsidRPr="002A68E0" w:rsidRDefault="001604A1" w:rsidP="00E7429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0"/>
          <w:szCs w:val="20"/>
          <w:lang w:val="en-US"/>
        </w:rPr>
      </w:pPr>
      <w:r w:rsidRPr="002A68E0">
        <w:rPr>
          <w:rFonts w:asciiTheme="majorHAnsi" w:hAnsiTheme="majorHAnsi" w:cs="Calibri"/>
          <w:sz w:val="20"/>
          <w:szCs w:val="20"/>
          <w:lang w:val="en-US"/>
        </w:rPr>
        <w:t>Time: 7.</w:t>
      </w:r>
      <w:r w:rsidR="009213CB" w:rsidRPr="002A68E0">
        <w:rPr>
          <w:rFonts w:asciiTheme="majorHAnsi" w:hAnsiTheme="majorHAnsi" w:cs="Calibri"/>
          <w:sz w:val="20"/>
          <w:szCs w:val="20"/>
          <w:lang w:val="en-US"/>
        </w:rPr>
        <w:t xml:space="preserve">30 </w:t>
      </w:r>
      <w:r w:rsidR="00A55A6C" w:rsidRPr="002A68E0">
        <w:rPr>
          <w:rFonts w:asciiTheme="majorHAnsi" w:hAnsiTheme="majorHAnsi" w:cs="Calibri"/>
          <w:sz w:val="20"/>
          <w:szCs w:val="20"/>
          <w:lang w:val="en-US"/>
        </w:rPr>
        <w:t>pm</w:t>
      </w:r>
    </w:p>
    <w:p w14:paraId="3203E9AD" w14:textId="5D436B51" w:rsidR="009E3B43" w:rsidRPr="002A68E0" w:rsidRDefault="00A55A6C" w:rsidP="009213C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0"/>
          <w:szCs w:val="20"/>
          <w:lang w:val="en-US"/>
        </w:rPr>
      </w:pPr>
      <w:r w:rsidRPr="002A68E0">
        <w:rPr>
          <w:rFonts w:asciiTheme="majorHAnsi" w:hAnsiTheme="majorHAnsi" w:cs="Calibri"/>
          <w:sz w:val="20"/>
          <w:szCs w:val="20"/>
          <w:lang w:val="en-US"/>
        </w:rPr>
        <w:t xml:space="preserve">Venue: </w:t>
      </w:r>
      <w:r w:rsidR="009213CB" w:rsidRPr="002A68E0">
        <w:rPr>
          <w:rFonts w:asciiTheme="majorHAnsi" w:hAnsiTheme="majorHAnsi" w:cs="Calibri"/>
          <w:sz w:val="20"/>
          <w:szCs w:val="20"/>
          <w:lang w:val="en-US"/>
        </w:rPr>
        <w:t>Kimble Stewart Hall</w:t>
      </w:r>
    </w:p>
    <w:p w14:paraId="12C2CCE5" w14:textId="77777777" w:rsidR="00C111BD" w:rsidRPr="002A68E0" w:rsidRDefault="00C111BD" w:rsidP="00E742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0"/>
          <w:szCs w:val="20"/>
          <w:lang w:val="en-US"/>
        </w:rPr>
      </w:pPr>
    </w:p>
    <w:p w14:paraId="042C33CE" w14:textId="5914EF1C" w:rsidR="00326D03" w:rsidRDefault="00502E07" w:rsidP="00E742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en-US"/>
        </w:rPr>
      </w:pPr>
      <w:r w:rsidRPr="002A68E0">
        <w:rPr>
          <w:rFonts w:asciiTheme="majorHAnsi" w:hAnsiTheme="majorHAnsi" w:cs="Calibri"/>
          <w:b/>
          <w:bCs/>
          <w:sz w:val="20"/>
          <w:szCs w:val="20"/>
          <w:lang w:val="en-US"/>
        </w:rPr>
        <w:t>W</w:t>
      </w:r>
      <w:r w:rsidR="00A069DB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orking </w:t>
      </w:r>
      <w:r w:rsidRPr="002A68E0">
        <w:rPr>
          <w:rFonts w:asciiTheme="majorHAnsi" w:hAnsiTheme="majorHAnsi" w:cs="Calibri"/>
          <w:b/>
          <w:bCs/>
          <w:sz w:val="20"/>
          <w:szCs w:val="20"/>
          <w:lang w:val="en-US"/>
        </w:rPr>
        <w:t>G</w:t>
      </w:r>
      <w:r w:rsidR="00A069DB">
        <w:rPr>
          <w:rFonts w:asciiTheme="majorHAnsi" w:hAnsiTheme="majorHAnsi" w:cs="Calibri"/>
          <w:b/>
          <w:bCs/>
          <w:sz w:val="20"/>
          <w:szCs w:val="20"/>
          <w:lang w:val="en-US"/>
        </w:rPr>
        <w:t>roup</w:t>
      </w:r>
      <w:r w:rsidRPr="002A68E0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 </w:t>
      </w:r>
      <w:r w:rsidR="00E74293" w:rsidRPr="002A68E0">
        <w:rPr>
          <w:rFonts w:asciiTheme="majorHAnsi" w:hAnsiTheme="majorHAnsi" w:cs="Calibri"/>
          <w:b/>
          <w:bCs/>
          <w:sz w:val="20"/>
          <w:szCs w:val="20"/>
          <w:lang w:val="en-US"/>
        </w:rPr>
        <w:t>Attendees</w:t>
      </w:r>
      <w:r w:rsidR="00A55A6C" w:rsidRPr="002A68E0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: </w:t>
      </w:r>
      <w:r w:rsidR="006E7E3F" w:rsidRPr="002A68E0">
        <w:rPr>
          <w:rFonts w:asciiTheme="majorHAnsi" w:hAnsiTheme="majorHAnsi" w:cs="Calibri"/>
          <w:sz w:val="20"/>
          <w:szCs w:val="20"/>
          <w:lang w:val="en-US"/>
        </w:rPr>
        <w:t>Delia Burton</w:t>
      </w:r>
      <w:r w:rsidR="006E7E3F">
        <w:rPr>
          <w:rFonts w:asciiTheme="majorHAnsi" w:hAnsiTheme="majorHAnsi" w:cs="Calibri"/>
          <w:sz w:val="20"/>
          <w:szCs w:val="20"/>
          <w:lang w:val="en-US"/>
        </w:rPr>
        <w:t xml:space="preserve">, </w:t>
      </w:r>
      <w:r w:rsidR="009213CB" w:rsidRPr="002A68E0">
        <w:rPr>
          <w:rFonts w:asciiTheme="majorHAnsi" w:hAnsiTheme="majorHAnsi" w:cs="Calibri"/>
          <w:sz w:val="20"/>
          <w:szCs w:val="20"/>
          <w:lang w:val="en-US"/>
        </w:rPr>
        <w:t xml:space="preserve">Tom Dixon, </w:t>
      </w:r>
      <w:r w:rsidR="00A55A6C" w:rsidRPr="002A68E0">
        <w:rPr>
          <w:rFonts w:asciiTheme="majorHAnsi" w:hAnsiTheme="majorHAnsi" w:cs="Calibri"/>
          <w:sz w:val="20"/>
          <w:szCs w:val="20"/>
          <w:lang w:val="en-US"/>
        </w:rPr>
        <w:t>James Good</w:t>
      </w:r>
      <w:r w:rsidR="00574947" w:rsidRPr="002A68E0">
        <w:rPr>
          <w:rFonts w:asciiTheme="majorHAnsi" w:hAnsiTheme="majorHAnsi" w:cs="Calibri"/>
          <w:sz w:val="20"/>
          <w:szCs w:val="20"/>
          <w:lang w:val="en-US"/>
        </w:rPr>
        <w:t xml:space="preserve">, </w:t>
      </w:r>
      <w:r w:rsidR="00CD72F1" w:rsidRPr="002A68E0">
        <w:rPr>
          <w:rFonts w:asciiTheme="majorHAnsi" w:hAnsiTheme="majorHAnsi" w:cs="Calibri"/>
          <w:sz w:val="20"/>
          <w:szCs w:val="20"/>
          <w:lang w:val="en-US"/>
        </w:rPr>
        <w:t xml:space="preserve">Sue </w:t>
      </w:r>
      <w:proofErr w:type="spellStart"/>
      <w:r w:rsidR="00CD72F1" w:rsidRPr="002A68E0">
        <w:rPr>
          <w:rFonts w:asciiTheme="majorHAnsi" w:hAnsiTheme="majorHAnsi" w:cs="Calibri"/>
          <w:sz w:val="20"/>
          <w:szCs w:val="20"/>
          <w:lang w:val="en-US"/>
        </w:rPr>
        <w:t>Howgate</w:t>
      </w:r>
      <w:proofErr w:type="spellEnd"/>
      <w:r w:rsidR="00CD72F1" w:rsidRPr="002A68E0">
        <w:rPr>
          <w:rFonts w:asciiTheme="majorHAnsi" w:hAnsiTheme="majorHAnsi" w:cs="Calibri"/>
          <w:sz w:val="20"/>
          <w:szCs w:val="20"/>
          <w:lang w:val="en-US"/>
        </w:rPr>
        <w:t xml:space="preserve">, </w:t>
      </w:r>
      <w:r w:rsidR="00A402AA" w:rsidRPr="002A68E0">
        <w:rPr>
          <w:rFonts w:asciiTheme="majorHAnsi" w:hAnsiTheme="majorHAnsi" w:cs="Calibri"/>
          <w:sz w:val="20"/>
          <w:szCs w:val="20"/>
          <w:lang w:val="en-US"/>
        </w:rPr>
        <w:t xml:space="preserve">Robert Martin, </w:t>
      </w:r>
      <w:r w:rsidR="009213CB" w:rsidRPr="002A68E0">
        <w:rPr>
          <w:rFonts w:asciiTheme="majorHAnsi" w:hAnsiTheme="majorHAnsi" w:cs="Calibri"/>
          <w:sz w:val="20"/>
          <w:szCs w:val="20"/>
          <w:lang w:val="en-US"/>
        </w:rPr>
        <w:t>Gerald Redding</w:t>
      </w:r>
      <w:r w:rsidR="00075E82">
        <w:rPr>
          <w:rFonts w:asciiTheme="majorHAnsi" w:hAnsiTheme="majorHAnsi" w:cs="Calibri"/>
          <w:sz w:val="20"/>
          <w:szCs w:val="20"/>
          <w:lang w:val="en-US"/>
        </w:rPr>
        <w:t>, James Cripps</w:t>
      </w:r>
    </w:p>
    <w:p w14:paraId="1325DD4A" w14:textId="77777777" w:rsidR="00075E82" w:rsidRDefault="00075E82" w:rsidP="00E742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en-US"/>
        </w:rPr>
      </w:pPr>
    </w:p>
    <w:p w14:paraId="64506220" w14:textId="456CA76B" w:rsidR="00326D03" w:rsidRDefault="00326D03" w:rsidP="00E742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en-US"/>
        </w:rPr>
      </w:pPr>
      <w:r w:rsidRPr="00C26AE8">
        <w:rPr>
          <w:rFonts w:asciiTheme="majorHAnsi" w:hAnsiTheme="majorHAnsi" w:cs="Calibri"/>
          <w:b/>
          <w:sz w:val="20"/>
          <w:szCs w:val="20"/>
          <w:lang w:val="en-US"/>
        </w:rPr>
        <w:t>In attendance:</w:t>
      </w:r>
      <w:r>
        <w:rPr>
          <w:rFonts w:asciiTheme="majorHAnsi" w:hAnsiTheme="majorHAnsi" w:cs="Calibri"/>
          <w:sz w:val="20"/>
          <w:szCs w:val="20"/>
          <w:lang w:val="en-US"/>
        </w:rPr>
        <w:t xml:space="preserve"> </w:t>
      </w:r>
      <w:r w:rsidR="00075E82">
        <w:rPr>
          <w:rFonts w:asciiTheme="majorHAnsi" w:hAnsiTheme="majorHAnsi" w:cs="Calibri"/>
          <w:sz w:val="20"/>
          <w:szCs w:val="20"/>
          <w:lang w:val="en-US"/>
        </w:rPr>
        <w:t>Neil Homer</w:t>
      </w:r>
    </w:p>
    <w:p w14:paraId="1B3B1BCC" w14:textId="77777777" w:rsidR="00C26AE8" w:rsidRPr="002A68E0" w:rsidRDefault="00C26AE8" w:rsidP="00E7429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14:paraId="7A43311A" w14:textId="4AECDE9D" w:rsidR="00C26AE8" w:rsidRDefault="00C26AE8" w:rsidP="00C26AE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en-US"/>
        </w:rPr>
      </w:pPr>
      <w:r w:rsidRPr="005D1061">
        <w:rPr>
          <w:rFonts w:asciiTheme="majorHAnsi" w:hAnsiTheme="majorHAnsi" w:cs="Times"/>
          <w:b/>
          <w:sz w:val="20"/>
          <w:szCs w:val="20"/>
          <w:lang w:val="en-US"/>
        </w:rPr>
        <w:t>Apologies:</w:t>
      </w:r>
      <w:r>
        <w:rPr>
          <w:rFonts w:asciiTheme="majorHAnsi" w:hAnsiTheme="majorHAnsi" w:cs="Times"/>
          <w:sz w:val="20"/>
          <w:szCs w:val="20"/>
          <w:lang w:val="en-US"/>
        </w:rPr>
        <w:t xml:space="preserve"> </w:t>
      </w:r>
      <w:r w:rsidR="00075E82">
        <w:rPr>
          <w:rFonts w:asciiTheme="majorHAnsi" w:hAnsiTheme="majorHAnsi" w:cs="Times"/>
          <w:sz w:val="20"/>
          <w:szCs w:val="20"/>
          <w:lang w:val="en-US"/>
        </w:rPr>
        <w:t>Robert Martin</w:t>
      </w:r>
      <w:r>
        <w:rPr>
          <w:rFonts w:asciiTheme="majorHAnsi" w:hAnsiTheme="majorHAnsi" w:cs="Calibri"/>
          <w:sz w:val="20"/>
          <w:szCs w:val="20"/>
          <w:lang w:val="en-US"/>
        </w:rPr>
        <w:t>, David Williams</w:t>
      </w:r>
    </w:p>
    <w:p w14:paraId="52BC2FB8" w14:textId="37BDC566" w:rsidR="00793026" w:rsidRDefault="00793026" w:rsidP="00E742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en-US"/>
        </w:rPr>
      </w:pPr>
    </w:p>
    <w:p w14:paraId="064AAFB4" w14:textId="77777777" w:rsidR="00C26AE8" w:rsidRPr="002A68E0" w:rsidRDefault="00C26AE8" w:rsidP="00E742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en-US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571"/>
        <w:gridCol w:w="2505"/>
        <w:gridCol w:w="7832"/>
      </w:tblGrid>
      <w:tr w:rsidR="00EF7201" w:rsidRPr="002A68E0" w14:paraId="2C8ACCD9" w14:textId="77777777" w:rsidTr="00E408D4">
        <w:trPr>
          <w:trHeight w:val="338"/>
        </w:trPr>
        <w:tc>
          <w:tcPr>
            <w:tcW w:w="571" w:type="dxa"/>
            <w:shd w:val="clear" w:color="auto" w:fill="D9D9D9"/>
          </w:tcPr>
          <w:p w14:paraId="31C06F8C" w14:textId="77777777" w:rsidR="000F2F77" w:rsidRPr="002A68E0" w:rsidRDefault="000F2F77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shd w:val="clear" w:color="auto" w:fill="D9D9D9"/>
          </w:tcPr>
          <w:p w14:paraId="3E841903" w14:textId="77777777" w:rsidR="000F2F77" w:rsidRPr="002A68E0" w:rsidRDefault="000F2F77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</w:pPr>
            <w:r w:rsidRPr="002A68E0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7832" w:type="dxa"/>
            <w:shd w:val="clear" w:color="auto" w:fill="D9D9D9"/>
          </w:tcPr>
          <w:p w14:paraId="6CC0690B" w14:textId="036F8A6B" w:rsidR="000F2F77" w:rsidRPr="002A68E0" w:rsidRDefault="000A01FE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A68E0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Minutes</w:t>
            </w:r>
          </w:p>
        </w:tc>
      </w:tr>
      <w:tr w:rsidR="009315A9" w:rsidRPr="002A68E0" w14:paraId="0986AB4A" w14:textId="77777777" w:rsidTr="00E408D4">
        <w:trPr>
          <w:trHeight w:val="532"/>
        </w:trPr>
        <w:tc>
          <w:tcPr>
            <w:tcW w:w="571" w:type="dxa"/>
          </w:tcPr>
          <w:p w14:paraId="135B506D" w14:textId="77777777" w:rsidR="009315A9" w:rsidRPr="002A68E0" w:rsidRDefault="009315A9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</w:tcPr>
          <w:p w14:paraId="31292DFB" w14:textId="2ABF0C17" w:rsidR="009315A9" w:rsidRPr="002A68E0" w:rsidRDefault="009315A9" w:rsidP="000F2F77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Welcome,</w:t>
            </w:r>
            <w:r w:rsidR="006F04EE"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attendees, apologies</w:t>
            </w: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32" w:type="dxa"/>
          </w:tcPr>
          <w:p w14:paraId="55F439B4" w14:textId="77777777" w:rsidR="0025654C" w:rsidRDefault="00326D03" w:rsidP="006F04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A</w:t>
            </w:r>
            <w:r w:rsidR="006E7E3F"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pologies </w:t>
            </w:r>
            <w:r w:rsidR="006F04EE"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had been received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from </w:t>
            </w:r>
            <w:r w:rsidR="00075E82">
              <w:rPr>
                <w:rFonts w:asciiTheme="majorHAnsi" w:hAnsiTheme="majorHAnsi" w:cs="Calibri"/>
                <w:sz w:val="20"/>
                <w:szCs w:val="20"/>
                <w:lang w:val="en-US"/>
              </w:rPr>
              <w:t>Robert Martin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and David Williams.</w:t>
            </w:r>
            <w:r w:rsidR="0025654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37BD02AE" w14:textId="77777777" w:rsidR="0025654C" w:rsidRDefault="0025654C" w:rsidP="006F04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613E6AF4" w14:textId="1556A322" w:rsidR="006F04EE" w:rsidRPr="002A68E0" w:rsidRDefault="0025654C" w:rsidP="006F04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Neil Homer (NH) from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Oneil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Homer was in attendance as planning consultant to the Parish Council</w:t>
            </w:r>
          </w:p>
          <w:p w14:paraId="13D5BB7F" w14:textId="02666061" w:rsidR="009315A9" w:rsidRPr="002A68E0" w:rsidRDefault="009315A9" w:rsidP="00EF7201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</w:tr>
      <w:tr w:rsidR="00EF7201" w:rsidRPr="002A68E0" w14:paraId="56281E87" w14:textId="77777777" w:rsidTr="00E408D4">
        <w:trPr>
          <w:trHeight w:val="532"/>
        </w:trPr>
        <w:tc>
          <w:tcPr>
            <w:tcW w:w="571" w:type="dxa"/>
          </w:tcPr>
          <w:p w14:paraId="63E1726D" w14:textId="77777777" w:rsidR="000F2F77" w:rsidRPr="002A68E0" w:rsidRDefault="000F2F77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</w:tcPr>
          <w:p w14:paraId="5AEFB861" w14:textId="04D34D01" w:rsidR="000F2F77" w:rsidRPr="002A68E0" w:rsidRDefault="000F2F77" w:rsidP="000F2F77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Minutes of</w:t>
            </w:r>
            <w:r w:rsidR="00526ECE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the</w:t>
            </w: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326D03">
              <w:rPr>
                <w:rFonts w:asciiTheme="majorHAnsi" w:hAnsiTheme="majorHAnsi" w:cs="Calibri"/>
                <w:sz w:val="20"/>
                <w:szCs w:val="20"/>
                <w:lang w:val="en-US"/>
              </w:rPr>
              <w:t>17 April</w:t>
            </w:r>
            <w:r w:rsidR="00BD2F1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B121EC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2019 </w:t>
            </w: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meeting</w:t>
            </w:r>
          </w:p>
        </w:tc>
        <w:tc>
          <w:tcPr>
            <w:tcW w:w="7832" w:type="dxa"/>
          </w:tcPr>
          <w:p w14:paraId="32648AA8" w14:textId="4F51D96C" w:rsidR="00FE52C8" w:rsidRPr="002A68E0" w:rsidRDefault="000A01FE" w:rsidP="00EF720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Approved</w:t>
            </w:r>
            <w:r w:rsidR="00FA3081"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.</w:t>
            </w:r>
          </w:p>
        </w:tc>
      </w:tr>
      <w:tr w:rsidR="00326D03" w:rsidRPr="002A68E0" w14:paraId="6E09927B" w14:textId="77777777" w:rsidTr="00E408D4">
        <w:trPr>
          <w:trHeight w:val="532"/>
        </w:trPr>
        <w:tc>
          <w:tcPr>
            <w:tcW w:w="571" w:type="dxa"/>
          </w:tcPr>
          <w:p w14:paraId="5AA2794C" w14:textId="77777777" w:rsidR="00326D03" w:rsidRPr="002A68E0" w:rsidRDefault="00326D03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</w:tcPr>
          <w:p w14:paraId="26143659" w14:textId="2D2DBE84" w:rsidR="00326D03" w:rsidRPr="002A68E0" w:rsidRDefault="00326D03" w:rsidP="000F2F77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Conflicts of Interest</w:t>
            </w:r>
            <w:r w:rsidR="00C26AE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Register</w:t>
            </w:r>
          </w:p>
        </w:tc>
        <w:tc>
          <w:tcPr>
            <w:tcW w:w="7832" w:type="dxa"/>
          </w:tcPr>
          <w:p w14:paraId="00455A78" w14:textId="77777777" w:rsidR="00326D03" w:rsidRDefault="00326D03" w:rsidP="00326D03">
            <w:pPr>
              <w:pStyle w:val="Defaul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93ADD">
              <w:rPr>
                <w:rFonts w:asciiTheme="majorHAnsi" w:hAnsiTheme="majorHAnsi"/>
                <w:sz w:val="20"/>
                <w:szCs w:val="20"/>
                <w:lang w:val="en-US"/>
              </w:rPr>
              <w:t>No updates were declared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to the</w:t>
            </w:r>
            <w:r w:rsidRPr="00C93AD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Conflicts of Interest 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R</w:t>
            </w: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egister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. </w:t>
            </w:r>
          </w:p>
          <w:p w14:paraId="7075B0B9" w14:textId="77777777" w:rsidR="00326D03" w:rsidRPr="002A68E0" w:rsidRDefault="00326D03" w:rsidP="00EF7201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</w:tr>
      <w:tr w:rsidR="0025654C" w:rsidRPr="002A68E0" w14:paraId="7D3034F1" w14:textId="77777777" w:rsidTr="00E408D4">
        <w:trPr>
          <w:trHeight w:val="801"/>
        </w:trPr>
        <w:tc>
          <w:tcPr>
            <w:tcW w:w="571" w:type="dxa"/>
          </w:tcPr>
          <w:p w14:paraId="7DFF7E5D" w14:textId="77777777" w:rsidR="0025654C" w:rsidRPr="002A68E0" w:rsidRDefault="0025654C" w:rsidP="0025654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</w:tcPr>
          <w:p w14:paraId="1666879D" w14:textId="26A45D9C" w:rsidR="0025654C" w:rsidRPr="002A68E0" w:rsidRDefault="0025654C" w:rsidP="002565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Site 20 – response to Kimble Pasture Limited   </w:t>
            </w:r>
          </w:p>
        </w:tc>
        <w:tc>
          <w:tcPr>
            <w:tcW w:w="7832" w:type="dxa"/>
          </w:tcPr>
          <w:p w14:paraId="5A2FF754" w14:textId="47C524DB" w:rsidR="0025654C" w:rsidRPr="00C93ADD" w:rsidRDefault="0025654C" w:rsidP="0025654C">
            <w:pPr>
              <w:pStyle w:val="Defaul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The recent letter from Kimble Pastures Ltd to the PC dated 6</w:t>
            </w:r>
            <w:r w:rsidRPr="00DB1736">
              <w:rPr>
                <w:rFonts w:asciiTheme="majorHAnsi" w:hAnsiTheme="majorHAns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June was reviewed and noted by the working group. A further letter was to be drafted and passed to the Parish Clerk to return to Kimble Pastures Ltd explaining the logic of why the 2 scheme options were included in the Site Assessment report.  NH approved the approach and confirmed that he would make an appropriate amendment in the final Site Assessment report.</w:t>
            </w:r>
          </w:p>
        </w:tc>
      </w:tr>
      <w:tr w:rsidR="0025654C" w:rsidRPr="002A68E0" w14:paraId="14B944FF" w14:textId="77777777" w:rsidTr="00E408D4">
        <w:trPr>
          <w:trHeight w:val="700"/>
        </w:trPr>
        <w:tc>
          <w:tcPr>
            <w:tcW w:w="571" w:type="dxa"/>
          </w:tcPr>
          <w:p w14:paraId="3204E3F3" w14:textId="77777777" w:rsidR="0025654C" w:rsidRPr="002A68E0" w:rsidRDefault="0025654C" w:rsidP="0025654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</w:tcPr>
          <w:p w14:paraId="00A9BB6C" w14:textId="503F6F7D" w:rsidR="0025654C" w:rsidRPr="002A68E0" w:rsidRDefault="0025654C" w:rsidP="002565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Pre-submission consultation promotion – feedback</w:t>
            </w:r>
          </w:p>
        </w:tc>
        <w:tc>
          <w:tcPr>
            <w:tcW w:w="7832" w:type="dxa"/>
          </w:tcPr>
          <w:p w14:paraId="15DF01CF" w14:textId="4930422E" w:rsidR="0025654C" w:rsidRDefault="0025654C" w:rsidP="0025654C">
            <w:pPr>
              <w:pStyle w:val="Numberedtext"/>
              <w:numPr>
                <w:ilvl w:val="0"/>
                <w:numId w:val="0"/>
              </w:numPr>
              <w:spacing w:before="240"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All the statutory and public feedback had been reviewed by the working group.  NH made extensive observations on the feedback although some of the princip</w:t>
            </w:r>
            <w:r w:rsidR="0095181D">
              <w:rPr>
                <w:rFonts w:asciiTheme="majorHAnsi" w:hAnsiTheme="majorHAnsi" w:cs="Calibri"/>
                <w:sz w:val="20"/>
                <w:szCs w:val="20"/>
                <w:lang w:val="en-US"/>
              </w:rPr>
              <w:t>al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consultees had not yet responded and JG was to chase these up. JG was to engage with Local Dialogue to prepare a summary of the feedback and NH would review the statutory feedback and provide a profession</w:t>
            </w:r>
            <w:r w:rsidR="0095181D">
              <w:rPr>
                <w:rFonts w:asciiTheme="majorHAnsi" w:hAnsiTheme="majorHAnsi" w:cs="Calibri"/>
                <w:sz w:val="20"/>
                <w:szCs w:val="20"/>
                <w:lang w:val="en-US"/>
              </w:rPr>
              <w:t>al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view on the more detailed public feedback comments.</w:t>
            </w:r>
          </w:p>
          <w:p w14:paraId="17AD03A8" w14:textId="4042F80E" w:rsidR="0025654C" w:rsidRDefault="0025654C" w:rsidP="0025654C">
            <w:pPr>
              <w:pStyle w:val="Numberedtext"/>
              <w:numPr>
                <w:ilvl w:val="0"/>
                <w:numId w:val="0"/>
              </w:numPr>
              <w:spacing w:before="240"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It was also agreed that the WG would continue their review of the feedback and prepare comments for the next WG meeting.</w:t>
            </w:r>
          </w:p>
          <w:p w14:paraId="0A87BF0E" w14:textId="643302C2" w:rsidR="0025654C" w:rsidRPr="00F425FE" w:rsidRDefault="0025654C" w:rsidP="0025654C">
            <w:pPr>
              <w:pStyle w:val="Numberedtext"/>
              <w:numPr>
                <w:ilvl w:val="0"/>
                <w:numId w:val="0"/>
              </w:numPr>
              <w:spacing w:before="240"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NH confirmed that in due course a Consultation Statement would be required for submission with the final NP submission to WDC.</w:t>
            </w:r>
          </w:p>
        </w:tc>
      </w:tr>
      <w:tr w:rsidR="0025654C" w:rsidRPr="002A68E0" w14:paraId="19C17D12" w14:textId="77777777" w:rsidTr="00E408D4">
        <w:trPr>
          <w:trHeight w:val="838"/>
        </w:trPr>
        <w:tc>
          <w:tcPr>
            <w:tcW w:w="571" w:type="dxa"/>
          </w:tcPr>
          <w:p w14:paraId="4EA7AC10" w14:textId="712C22CA" w:rsidR="0025654C" w:rsidRPr="002A68E0" w:rsidRDefault="0025654C" w:rsidP="0025654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</w:tcPr>
          <w:p w14:paraId="1180CCBD" w14:textId="4EA30D76" w:rsidR="0025654C" w:rsidRPr="002A68E0" w:rsidRDefault="0025654C" w:rsidP="002565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Submission – next steps</w:t>
            </w:r>
          </w:p>
        </w:tc>
        <w:tc>
          <w:tcPr>
            <w:tcW w:w="7832" w:type="dxa"/>
          </w:tcPr>
          <w:p w14:paraId="26100711" w14:textId="3844A6AF" w:rsidR="0025654C" w:rsidRDefault="0025654C" w:rsidP="0025654C">
            <w:pPr>
              <w:pStyle w:val="Numberedtext"/>
              <w:numPr>
                <w:ilvl w:val="0"/>
                <w:numId w:val="0"/>
              </w:numPr>
              <w:spacing w:before="24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Pre-sub feedback will require complete review and NH advised that he </w:t>
            </w:r>
            <w:proofErr w:type="gram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will</w:t>
            </w:r>
            <w:r w:rsidR="009518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provide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advice on what changes should be made to the draft NP so that it can be updated and submitted to the PC for formal approval and subsequent submission to WDC.</w:t>
            </w:r>
            <w:bookmarkStart w:id="0" w:name="_GoBack"/>
            <w:bookmarkEnd w:id="0"/>
          </w:p>
          <w:p w14:paraId="153B29DB" w14:textId="690BB98F" w:rsidR="0025654C" w:rsidRPr="002A68E0" w:rsidRDefault="0025654C" w:rsidP="00133981">
            <w:pPr>
              <w:pStyle w:val="Numberedtext"/>
              <w:numPr>
                <w:ilvl w:val="0"/>
                <w:numId w:val="0"/>
              </w:numPr>
              <w:spacing w:before="24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NH confirmed it was likely that a meeting with WDC would be useful to ensure </w:t>
            </w:r>
            <w:r w:rsidR="00133981">
              <w:rPr>
                <w:rFonts w:asciiTheme="majorHAnsi" w:hAnsiTheme="majorHAnsi"/>
                <w:sz w:val="20"/>
                <w:szCs w:val="20"/>
                <w:lang w:val="en-US"/>
              </w:rPr>
              <w:t>any likely changes were appropriate and robust.</w:t>
            </w:r>
          </w:p>
        </w:tc>
      </w:tr>
      <w:tr w:rsidR="0025654C" w:rsidRPr="002A68E0" w14:paraId="3828145E" w14:textId="77777777" w:rsidTr="00E408D4">
        <w:trPr>
          <w:trHeight w:val="520"/>
        </w:trPr>
        <w:tc>
          <w:tcPr>
            <w:tcW w:w="571" w:type="dxa"/>
          </w:tcPr>
          <w:p w14:paraId="140A320F" w14:textId="79244F96" w:rsidR="0025654C" w:rsidRPr="002A68E0" w:rsidRDefault="0025654C" w:rsidP="002565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7.</w:t>
            </w:r>
          </w:p>
        </w:tc>
        <w:tc>
          <w:tcPr>
            <w:tcW w:w="2505" w:type="dxa"/>
          </w:tcPr>
          <w:p w14:paraId="662F24DE" w14:textId="26C3110E" w:rsidR="0025654C" w:rsidRPr="002A68E0" w:rsidRDefault="0025654C" w:rsidP="002565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Any Other Business</w:t>
            </w:r>
          </w:p>
        </w:tc>
        <w:tc>
          <w:tcPr>
            <w:tcW w:w="7832" w:type="dxa"/>
          </w:tcPr>
          <w:p w14:paraId="39A63410" w14:textId="14C1700E" w:rsidR="0025654C" w:rsidRPr="002A68E0" w:rsidRDefault="0025654C" w:rsidP="0025654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SH suggested that we make a public “thank you” via the Parish newsletter and would incorporate into the next version.</w:t>
            </w:r>
          </w:p>
        </w:tc>
      </w:tr>
      <w:tr w:rsidR="0025654C" w:rsidRPr="002A68E0" w14:paraId="6A4FE8B1" w14:textId="77777777" w:rsidTr="00E408D4">
        <w:trPr>
          <w:trHeight w:val="520"/>
        </w:trPr>
        <w:tc>
          <w:tcPr>
            <w:tcW w:w="571" w:type="dxa"/>
          </w:tcPr>
          <w:p w14:paraId="1E2B6244" w14:textId="1732A077" w:rsidR="0025654C" w:rsidRPr="002A68E0" w:rsidRDefault="0025654C" w:rsidP="002565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8</w:t>
            </w: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2505" w:type="dxa"/>
          </w:tcPr>
          <w:p w14:paraId="0165970F" w14:textId="1440043C" w:rsidR="0025654C" w:rsidRPr="002A68E0" w:rsidRDefault="0025654C" w:rsidP="002565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2A68E0">
              <w:rPr>
                <w:rFonts w:asciiTheme="majorHAnsi" w:hAnsiTheme="majorHAnsi" w:cs="Calibri"/>
                <w:sz w:val="20"/>
                <w:szCs w:val="20"/>
                <w:lang w:val="en-US"/>
              </w:rPr>
              <w:t>Date of Next Meeting</w:t>
            </w:r>
          </w:p>
        </w:tc>
        <w:tc>
          <w:tcPr>
            <w:tcW w:w="7832" w:type="dxa"/>
          </w:tcPr>
          <w:p w14:paraId="0F3B93FD" w14:textId="7C2FD17A" w:rsidR="0025654C" w:rsidRDefault="0025654C" w:rsidP="0025654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17th July 2019</w:t>
            </w:r>
          </w:p>
          <w:p w14:paraId="3160D173" w14:textId="31D68F13" w:rsidR="0025654C" w:rsidRPr="002A68E0" w:rsidRDefault="0025654C" w:rsidP="0025654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2EF1B4F3" w14:textId="77777777" w:rsidR="00927083" w:rsidRDefault="00927083" w:rsidP="000F2F77">
      <w:pPr>
        <w:rPr>
          <w:color w:val="FF0000"/>
        </w:rPr>
      </w:pPr>
    </w:p>
    <w:p w14:paraId="2A07D1DF" w14:textId="77777777" w:rsidR="000B2CC9" w:rsidRPr="009E7E6D" w:rsidRDefault="000B2CC9" w:rsidP="000F2F77">
      <w:pPr>
        <w:rPr>
          <w:color w:val="FF0000"/>
        </w:rPr>
      </w:pPr>
    </w:p>
    <w:sectPr w:rsidR="000B2CC9" w:rsidRPr="009E7E6D" w:rsidSect="001A005D">
      <w:pgSz w:w="12240" w:h="15840"/>
      <w:pgMar w:top="624" w:right="624" w:bottom="624" w:left="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12869"/>
    <w:multiLevelType w:val="hybridMultilevel"/>
    <w:tmpl w:val="043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EBA"/>
    <w:multiLevelType w:val="multilevel"/>
    <w:tmpl w:val="86EA4366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F0B94"/>
    <w:multiLevelType w:val="hybridMultilevel"/>
    <w:tmpl w:val="AE84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C0AE9"/>
    <w:multiLevelType w:val="hybridMultilevel"/>
    <w:tmpl w:val="869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7DD"/>
    <w:multiLevelType w:val="hybridMultilevel"/>
    <w:tmpl w:val="E9D8B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B1BFE"/>
    <w:multiLevelType w:val="hybridMultilevel"/>
    <w:tmpl w:val="D9E49ECA"/>
    <w:lvl w:ilvl="0" w:tplc="B8D08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117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D21AD9"/>
    <w:multiLevelType w:val="hybridMultilevel"/>
    <w:tmpl w:val="E034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1475A"/>
    <w:multiLevelType w:val="hybridMultilevel"/>
    <w:tmpl w:val="FB8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415A0"/>
    <w:multiLevelType w:val="hybridMultilevel"/>
    <w:tmpl w:val="890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4BB7"/>
    <w:multiLevelType w:val="hybridMultilevel"/>
    <w:tmpl w:val="D37C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759A"/>
    <w:multiLevelType w:val="hybridMultilevel"/>
    <w:tmpl w:val="D30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32E82"/>
    <w:multiLevelType w:val="hybridMultilevel"/>
    <w:tmpl w:val="52CCDECA"/>
    <w:lvl w:ilvl="0" w:tplc="6EAAF7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755A"/>
    <w:multiLevelType w:val="multilevel"/>
    <w:tmpl w:val="86EA4366"/>
    <w:numStyleLink w:val="Style1"/>
  </w:abstractNum>
  <w:abstractNum w:abstractNumId="15" w15:restartNumberingAfterBreak="0">
    <w:nsid w:val="4B123312"/>
    <w:multiLevelType w:val="hybridMultilevel"/>
    <w:tmpl w:val="D864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1285C"/>
    <w:multiLevelType w:val="multilevel"/>
    <w:tmpl w:val="4F642E4A"/>
    <w:name w:val="AECOM Outline numbering2"/>
    <w:lvl w:ilvl="0">
      <w:start w:val="1"/>
      <w:numFmt w:val="decimal"/>
      <w:lvlRestart w:val="0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tex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" w:hanging="850"/>
      </w:pPr>
      <w:rPr>
        <w:rFonts w:hint="default"/>
      </w:rPr>
    </w:lvl>
    <w:lvl w:ilvl="6">
      <w:start w:val="1"/>
      <w:numFmt w:val="none"/>
      <w:lvlText w:val=""/>
      <w:lvlJc w:val="left"/>
      <w:pPr>
        <w:ind w:left="850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0" w:hanging="850"/>
      </w:pPr>
      <w:rPr>
        <w:rFonts w:hint="default"/>
      </w:rPr>
    </w:lvl>
  </w:abstractNum>
  <w:abstractNum w:abstractNumId="17" w15:restartNumberingAfterBreak="0">
    <w:nsid w:val="5D4C0557"/>
    <w:multiLevelType w:val="hybridMultilevel"/>
    <w:tmpl w:val="181E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0666C"/>
    <w:multiLevelType w:val="hybridMultilevel"/>
    <w:tmpl w:val="F44E1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334F0"/>
    <w:multiLevelType w:val="hybridMultilevel"/>
    <w:tmpl w:val="43C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642D"/>
    <w:multiLevelType w:val="hybridMultilevel"/>
    <w:tmpl w:val="ADE2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700FA"/>
    <w:multiLevelType w:val="hybridMultilevel"/>
    <w:tmpl w:val="3E7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9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17"/>
  </w:num>
  <w:num w:numId="10">
    <w:abstractNumId w:val="10"/>
  </w:num>
  <w:num w:numId="11">
    <w:abstractNumId w:val="21"/>
  </w:num>
  <w:num w:numId="12">
    <w:abstractNumId w:val="20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2"/>
  </w:num>
  <w:num w:numId="18">
    <w:abstractNumId w:val="15"/>
  </w:num>
  <w:num w:numId="19">
    <w:abstractNumId w:val="13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C"/>
    <w:rsid w:val="00002041"/>
    <w:rsid w:val="00003C7D"/>
    <w:rsid w:val="000046A6"/>
    <w:rsid w:val="000061C9"/>
    <w:rsid w:val="00024C7D"/>
    <w:rsid w:val="00026064"/>
    <w:rsid w:val="00035A0C"/>
    <w:rsid w:val="000516A3"/>
    <w:rsid w:val="00051723"/>
    <w:rsid w:val="00052632"/>
    <w:rsid w:val="00075E82"/>
    <w:rsid w:val="00076743"/>
    <w:rsid w:val="00094264"/>
    <w:rsid w:val="0009717F"/>
    <w:rsid w:val="000A01FE"/>
    <w:rsid w:val="000A0B0E"/>
    <w:rsid w:val="000A1553"/>
    <w:rsid w:val="000B2CC9"/>
    <w:rsid w:val="000C00F6"/>
    <w:rsid w:val="000C2ED6"/>
    <w:rsid w:val="000D1EC4"/>
    <w:rsid w:val="000D516C"/>
    <w:rsid w:val="000D6FE5"/>
    <w:rsid w:val="000E77B4"/>
    <w:rsid w:val="000F04F4"/>
    <w:rsid w:val="000F2F77"/>
    <w:rsid w:val="00110BF2"/>
    <w:rsid w:val="00114968"/>
    <w:rsid w:val="00116B87"/>
    <w:rsid w:val="001218FA"/>
    <w:rsid w:val="001266F0"/>
    <w:rsid w:val="00133981"/>
    <w:rsid w:val="00140093"/>
    <w:rsid w:val="00141676"/>
    <w:rsid w:val="00144116"/>
    <w:rsid w:val="001604A1"/>
    <w:rsid w:val="00165B21"/>
    <w:rsid w:val="0017056E"/>
    <w:rsid w:val="00170B04"/>
    <w:rsid w:val="00170EFA"/>
    <w:rsid w:val="00171DA9"/>
    <w:rsid w:val="001816F2"/>
    <w:rsid w:val="001A005D"/>
    <w:rsid w:val="001B3091"/>
    <w:rsid w:val="001B66D0"/>
    <w:rsid w:val="001C0B7D"/>
    <w:rsid w:val="001C20C6"/>
    <w:rsid w:val="001E00BB"/>
    <w:rsid w:val="001E62D4"/>
    <w:rsid w:val="001F73EA"/>
    <w:rsid w:val="002014B4"/>
    <w:rsid w:val="00202276"/>
    <w:rsid w:val="0021382B"/>
    <w:rsid w:val="00221BAD"/>
    <w:rsid w:val="002238E2"/>
    <w:rsid w:val="002323A5"/>
    <w:rsid w:val="0023541D"/>
    <w:rsid w:val="00242219"/>
    <w:rsid w:val="002450B7"/>
    <w:rsid w:val="00252766"/>
    <w:rsid w:val="00252EF1"/>
    <w:rsid w:val="002534E7"/>
    <w:rsid w:val="0025654C"/>
    <w:rsid w:val="00264725"/>
    <w:rsid w:val="0028708A"/>
    <w:rsid w:val="00291A9A"/>
    <w:rsid w:val="002960E3"/>
    <w:rsid w:val="002A68E0"/>
    <w:rsid w:val="002C030F"/>
    <w:rsid w:val="002D16E0"/>
    <w:rsid w:val="002D29FE"/>
    <w:rsid w:val="002D6656"/>
    <w:rsid w:val="002F27B4"/>
    <w:rsid w:val="002F5EB1"/>
    <w:rsid w:val="002F75DB"/>
    <w:rsid w:val="003150FD"/>
    <w:rsid w:val="00326D03"/>
    <w:rsid w:val="00342D8F"/>
    <w:rsid w:val="00347930"/>
    <w:rsid w:val="0035396A"/>
    <w:rsid w:val="00357583"/>
    <w:rsid w:val="00373461"/>
    <w:rsid w:val="0037550B"/>
    <w:rsid w:val="003A7925"/>
    <w:rsid w:val="003D419A"/>
    <w:rsid w:val="003E7AC0"/>
    <w:rsid w:val="003E7F74"/>
    <w:rsid w:val="003F17A3"/>
    <w:rsid w:val="003F243D"/>
    <w:rsid w:val="003F4F68"/>
    <w:rsid w:val="003F6A99"/>
    <w:rsid w:val="003F6C02"/>
    <w:rsid w:val="004305D8"/>
    <w:rsid w:val="00440F12"/>
    <w:rsid w:val="00442DE0"/>
    <w:rsid w:val="00445E0A"/>
    <w:rsid w:val="00455EB4"/>
    <w:rsid w:val="00465658"/>
    <w:rsid w:val="0047047A"/>
    <w:rsid w:val="00475B44"/>
    <w:rsid w:val="004771F1"/>
    <w:rsid w:val="00477BB9"/>
    <w:rsid w:val="00485005"/>
    <w:rsid w:val="00492635"/>
    <w:rsid w:val="00494A53"/>
    <w:rsid w:val="004A7866"/>
    <w:rsid w:val="004B08BB"/>
    <w:rsid w:val="004F0BFA"/>
    <w:rsid w:val="00502E07"/>
    <w:rsid w:val="00506B4B"/>
    <w:rsid w:val="00526ECE"/>
    <w:rsid w:val="005352CB"/>
    <w:rsid w:val="00540E09"/>
    <w:rsid w:val="00543801"/>
    <w:rsid w:val="0054534C"/>
    <w:rsid w:val="00550AAC"/>
    <w:rsid w:val="00560E49"/>
    <w:rsid w:val="00574378"/>
    <w:rsid w:val="00574947"/>
    <w:rsid w:val="005777A6"/>
    <w:rsid w:val="00593CD9"/>
    <w:rsid w:val="0059421A"/>
    <w:rsid w:val="005971B1"/>
    <w:rsid w:val="005A78F7"/>
    <w:rsid w:val="005B0CF6"/>
    <w:rsid w:val="005B4060"/>
    <w:rsid w:val="005B6FE1"/>
    <w:rsid w:val="005C3438"/>
    <w:rsid w:val="005C5142"/>
    <w:rsid w:val="005C5696"/>
    <w:rsid w:val="005D092D"/>
    <w:rsid w:val="005D3839"/>
    <w:rsid w:val="005D759E"/>
    <w:rsid w:val="005E579C"/>
    <w:rsid w:val="005E70F1"/>
    <w:rsid w:val="005E7CC3"/>
    <w:rsid w:val="005F3734"/>
    <w:rsid w:val="006028AB"/>
    <w:rsid w:val="00603B6D"/>
    <w:rsid w:val="00605C08"/>
    <w:rsid w:val="0063599F"/>
    <w:rsid w:val="00641995"/>
    <w:rsid w:val="00650C9B"/>
    <w:rsid w:val="0067264E"/>
    <w:rsid w:val="006770DD"/>
    <w:rsid w:val="00686259"/>
    <w:rsid w:val="00691B7B"/>
    <w:rsid w:val="00692AB4"/>
    <w:rsid w:val="006B2C01"/>
    <w:rsid w:val="006C0C89"/>
    <w:rsid w:val="006C433B"/>
    <w:rsid w:val="006D3F15"/>
    <w:rsid w:val="006D5C74"/>
    <w:rsid w:val="006E7E3F"/>
    <w:rsid w:val="006F04EE"/>
    <w:rsid w:val="006F41E7"/>
    <w:rsid w:val="006F7DCF"/>
    <w:rsid w:val="00713CD1"/>
    <w:rsid w:val="00727F10"/>
    <w:rsid w:val="00744502"/>
    <w:rsid w:val="00765176"/>
    <w:rsid w:val="00781533"/>
    <w:rsid w:val="00781661"/>
    <w:rsid w:val="007838E1"/>
    <w:rsid w:val="00793026"/>
    <w:rsid w:val="007966FA"/>
    <w:rsid w:val="007A004B"/>
    <w:rsid w:val="007A13E0"/>
    <w:rsid w:val="007A23A6"/>
    <w:rsid w:val="007A3A6E"/>
    <w:rsid w:val="007C7755"/>
    <w:rsid w:val="007D3C31"/>
    <w:rsid w:val="007D6F1C"/>
    <w:rsid w:val="007E647B"/>
    <w:rsid w:val="00800DD3"/>
    <w:rsid w:val="00807751"/>
    <w:rsid w:val="00817234"/>
    <w:rsid w:val="008344DC"/>
    <w:rsid w:val="00842B2B"/>
    <w:rsid w:val="008551BA"/>
    <w:rsid w:val="008567B5"/>
    <w:rsid w:val="008625C5"/>
    <w:rsid w:val="00885CA5"/>
    <w:rsid w:val="00886A97"/>
    <w:rsid w:val="00887224"/>
    <w:rsid w:val="008A18AB"/>
    <w:rsid w:val="008A1EFD"/>
    <w:rsid w:val="008A28BE"/>
    <w:rsid w:val="008B2974"/>
    <w:rsid w:val="008B3B87"/>
    <w:rsid w:val="008B6E07"/>
    <w:rsid w:val="008C6D98"/>
    <w:rsid w:val="008E048B"/>
    <w:rsid w:val="008F3916"/>
    <w:rsid w:val="008F415B"/>
    <w:rsid w:val="008F4D6A"/>
    <w:rsid w:val="008F64E5"/>
    <w:rsid w:val="00907907"/>
    <w:rsid w:val="00910ABA"/>
    <w:rsid w:val="009213CB"/>
    <w:rsid w:val="00927083"/>
    <w:rsid w:val="009315A9"/>
    <w:rsid w:val="0094241A"/>
    <w:rsid w:val="00944E45"/>
    <w:rsid w:val="0095181D"/>
    <w:rsid w:val="009563CD"/>
    <w:rsid w:val="0098640C"/>
    <w:rsid w:val="0098696C"/>
    <w:rsid w:val="00993814"/>
    <w:rsid w:val="009A7CAC"/>
    <w:rsid w:val="009B10EB"/>
    <w:rsid w:val="009B4E57"/>
    <w:rsid w:val="009C0F6A"/>
    <w:rsid w:val="009C51C4"/>
    <w:rsid w:val="009C7950"/>
    <w:rsid w:val="009D05B2"/>
    <w:rsid w:val="009E3B43"/>
    <w:rsid w:val="009E7E6D"/>
    <w:rsid w:val="00A00DC5"/>
    <w:rsid w:val="00A069DB"/>
    <w:rsid w:val="00A07FEE"/>
    <w:rsid w:val="00A121EB"/>
    <w:rsid w:val="00A22BEB"/>
    <w:rsid w:val="00A2562D"/>
    <w:rsid w:val="00A31AF8"/>
    <w:rsid w:val="00A31D6F"/>
    <w:rsid w:val="00A3294C"/>
    <w:rsid w:val="00A400C8"/>
    <w:rsid w:val="00A402AA"/>
    <w:rsid w:val="00A41D68"/>
    <w:rsid w:val="00A42A4F"/>
    <w:rsid w:val="00A53F04"/>
    <w:rsid w:val="00A55A6C"/>
    <w:rsid w:val="00A57012"/>
    <w:rsid w:val="00A6176F"/>
    <w:rsid w:val="00A8171A"/>
    <w:rsid w:val="00A85B84"/>
    <w:rsid w:val="00A8652A"/>
    <w:rsid w:val="00A877B1"/>
    <w:rsid w:val="00A9059C"/>
    <w:rsid w:val="00A91C31"/>
    <w:rsid w:val="00A961EC"/>
    <w:rsid w:val="00A97CAA"/>
    <w:rsid w:val="00AA17DE"/>
    <w:rsid w:val="00AA6B2F"/>
    <w:rsid w:val="00AB4968"/>
    <w:rsid w:val="00AC0362"/>
    <w:rsid w:val="00AE0EE2"/>
    <w:rsid w:val="00AE3F6B"/>
    <w:rsid w:val="00AF19F6"/>
    <w:rsid w:val="00B0166B"/>
    <w:rsid w:val="00B121EC"/>
    <w:rsid w:val="00B16B44"/>
    <w:rsid w:val="00B17B87"/>
    <w:rsid w:val="00B2511D"/>
    <w:rsid w:val="00B4530D"/>
    <w:rsid w:val="00B64533"/>
    <w:rsid w:val="00B85D8C"/>
    <w:rsid w:val="00B941DD"/>
    <w:rsid w:val="00BA1BFE"/>
    <w:rsid w:val="00BD2F10"/>
    <w:rsid w:val="00BE03B2"/>
    <w:rsid w:val="00BE35CB"/>
    <w:rsid w:val="00C111BD"/>
    <w:rsid w:val="00C174A8"/>
    <w:rsid w:val="00C20291"/>
    <w:rsid w:val="00C24D48"/>
    <w:rsid w:val="00C26AE8"/>
    <w:rsid w:val="00C35EE7"/>
    <w:rsid w:val="00C37878"/>
    <w:rsid w:val="00C65775"/>
    <w:rsid w:val="00C774CD"/>
    <w:rsid w:val="00C93ADD"/>
    <w:rsid w:val="00CA0D63"/>
    <w:rsid w:val="00CA19BB"/>
    <w:rsid w:val="00CA1D09"/>
    <w:rsid w:val="00CB3564"/>
    <w:rsid w:val="00CB3B40"/>
    <w:rsid w:val="00CC2B33"/>
    <w:rsid w:val="00CC7219"/>
    <w:rsid w:val="00CD12C4"/>
    <w:rsid w:val="00CD5474"/>
    <w:rsid w:val="00CD72F1"/>
    <w:rsid w:val="00CE1440"/>
    <w:rsid w:val="00CE1E48"/>
    <w:rsid w:val="00CE7825"/>
    <w:rsid w:val="00CF2E35"/>
    <w:rsid w:val="00CF5E63"/>
    <w:rsid w:val="00D21892"/>
    <w:rsid w:val="00D403EB"/>
    <w:rsid w:val="00D40427"/>
    <w:rsid w:val="00D4578F"/>
    <w:rsid w:val="00D45B04"/>
    <w:rsid w:val="00D46359"/>
    <w:rsid w:val="00D50D73"/>
    <w:rsid w:val="00D52447"/>
    <w:rsid w:val="00D72BA3"/>
    <w:rsid w:val="00D828C8"/>
    <w:rsid w:val="00D837D4"/>
    <w:rsid w:val="00DA00E7"/>
    <w:rsid w:val="00DA0F70"/>
    <w:rsid w:val="00DB1736"/>
    <w:rsid w:val="00DD2A49"/>
    <w:rsid w:val="00DE4ED2"/>
    <w:rsid w:val="00DF0875"/>
    <w:rsid w:val="00DF2B3A"/>
    <w:rsid w:val="00DF4B86"/>
    <w:rsid w:val="00E01987"/>
    <w:rsid w:val="00E03529"/>
    <w:rsid w:val="00E07836"/>
    <w:rsid w:val="00E07BCC"/>
    <w:rsid w:val="00E2580C"/>
    <w:rsid w:val="00E35D9C"/>
    <w:rsid w:val="00E408D4"/>
    <w:rsid w:val="00E65726"/>
    <w:rsid w:val="00E74293"/>
    <w:rsid w:val="00E758AB"/>
    <w:rsid w:val="00E77CEC"/>
    <w:rsid w:val="00E864EC"/>
    <w:rsid w:val="00EA36D5"/>
    <w:rsid w:val="00EB013F"/>
    <w:rsid w:val="00EB27FA"/>
    <w:rsid w:val="00EB3972"/>
    <w:rsid w:val="00EB4C39"/>
    <w:rsid w:val="00EC0D48"/>
    <w:rsid w:val="00EC24A1"/>
    <w:rsid w:val="00EC3087"/>
    <w:rsid w:val="00EF41CE"/>
    <w:rsid w:val="00EF7201"/>
    <w:rsid w:val="00F10615"/>
    <w:rsid w:val="00F25999"/>
    <w:rsid w:val="00F34ABC"/>
    <w:rsid w:val="00F425FE"/>
    <w:rsid w:val="00F47258"/>
    <w:rsid w:val="00F61A26"/>
    <w:rsid w:val="00F622C4"/>
    <w:rsid w:val="00F65261"/>
    <w:rsid w:val="00F65E8B"/>
    <w:rsid w:val="00F66A1E"/>
    <w:rsid w:val="00F85F00"/>
    <w:rsid w:val="00F87B55"/>
    <w:rsid w:val="00F93C04"/>
    <w:rsid w:val="00F96B1F"/>
    <w:rsid w:val="00FA3081"/>
    <w:rsid w:val="00FB529A"/>
    <w:rsid w:val="00FC1DF4"/>
    <w:rsid w:val="00FC2ACC"/>
    <w:rsid w:val="00FD201D"/>
    <w:rsid w:val="00FD6CD5"/>
    <w:rsid w:val="00FD7226"/>
    <w:rsid w:val="00FE52C8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49196"/>
  <w14:defaultImageDpi w14:val="300"/>
  <w15:docId w15:val="{2BE06B81-1CCC-4775-BEE2-F4FE3BEA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Outline1,Main Section,Unnumbered 1,Numbered 1,Unnumbered,Oscar Faber 1,Section,chapter heading,Chapter Hdg,Chapter Heading2,Ch,2.0 Heading,Section Heading,Hoofdstuk,L1,chapter,Numbered - 1,CBC Heading 1,Level 1,H1,H11,H12,g,Chapter,H111,H13"/>
    <w:basedOn w:val="Normal"/>
    <w:next w:val="BodyText"/>
    <w:link w:val="Heading1Char"/>
    <w:uiPriority w:val="99"/>
    <w:qFormat/>
    <w:rsid w:val="00A97CAA"/>
    <w:pPr>
      <w:keepNext/>
      <w:keepLines/>
      <w:pageBreakBefore/>
      <w:numPr>
        <w:numId w:val="2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18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7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uiPriority w:val="99"/>
    <w:rsid w:val="002F27B4"/>
    <w:pPr>
      <w:numPr>
        <w:numId w:val="17"/>
      </w:numPr>
    </w:pPr>
  </w:style>
  <w:style w:type="paragraph" w:styleId="Revision">
    <w:name w:val="Revision"/>
    <w:hidden/>
    <w:uiPriority w:val="99"/>
    <w:semiHidden/>
    <w:rsid w:val="00641995"/>
  </w:style>
  <w:style w:type="character" w:customStyle="1" w:styleId="Heading1Char">
    <w:name w:val="Heading 1 Char"/>
    <w:aliases w:val="h1 Char,Outline1 Char,Main Section Char,Unnumbered 1 Char,Numbered 1 Char,Unnumbered Char,Oscar Faber 1 Char,Section Char,chapter heading Char,Chapter Hdg Char,Chapter Heading2 Char,Ch Char,2.0 Heading Char,Section Heading Char,L1 Char"/>
    <w:basedOn w:val="DefaultParagraphFont"/>
    <w:link w:val="Heading1"/>
    <w:uiPriority w:val="99"/>
    <w:rsid w:val="00A97CAA"/>
    <w:rPr>
      <w:rFonts w:asciiTheme="majorHAnsi" w:eastAsiaTheme="majorEastAsia" w:hAnsiTheme="majorHAnsi" w:cstheme="majorBidi"/>
      <w:b/>
      <w:bCs/>
      <w:color w:val="4F81BD" w:themeColor="accent1"/>
      <w:kern w:val="18"/>
      <w:sz w:val="48"/>
      <w:szCs w:val="28"/>
    </w:rPr>
  </w:style>
  <w:style w:type="paragraph" w:customStyle="1" w:styleId="Numberedtext">
    <w:name w:val="Numbered text"/>
    <w:basedOn w:val="BodyText"/>
    <w:link w:val="NumberedtextChar"/>
    <w:uiPriority w:val="2"/>
    <w:qFormat/>
    <w:rsid w:val="00A97CAA"/>
    <w:pPr>
      <w:numPr>
        <w:ilvl w:val="1"/>
        <w:numId w:val="22"/>
      </w:numPr>
      <w:spacing w:after="180" w:line="240" w:lineRule="atLeast"/>
    </w:pPr>
    <w:rPr>
      <w:rFonts w:eastAsiaTheme="minorHAnsi"/>
      <w:kern w:val="18"/>
      <w:sz w:val="18"/>
      <w:szCs w:val="18"/>
    </w:rPr>
  </w:style>
  <w:style w:type="character" w:customStyle="1" w:styleId="NumberedtextChar">
    <w:name w:val="Numbered text Char"/>
    <w:basedOn w:val="DefaultParagraphFont"/>
    <w:link w:val="Numberedtext"/>
    <w:uiPriority w:val="2"/>
    <w:rsid w:val="00A97CAA"/>
    <w:rPr>
      <w:rFonts w:eastAsiaTheme="minorHAnsi"/>
      <w:kern w:val="1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97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7CAA"/>
  </w:style>
  <w:style w:type="paragraph" w:customStyle="1" w:styleId="Default">
    <w:name w:val="Default"/>
    <w:rsid w:val="00C93ADD"/>
    <w:pPr>
      <w:autoSpaceDE w:val="0"/>
      <w:autoSpaceDN w:val="0"/>
      <w:adjustRightInd w:val="0"/>
    </w:pPr>
    <w:rPr>
      <w:rFonts w:ascii="Frutiger LT Std 45 Light" w:eastAsiaTheme="minorHAnsi" w:hAnsi="Frutiger LT Std 45 Light" w:cs="Frutiger LT Std 45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6730A-B4ED-CD4A-A0E8-D4736F97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Zeinat Shirra</dc:creator>
  <cp:lastModifiedBy>Robert Martin</cp:lastModifiedBy>
  <cp:revision>3</cp:revision>
  <cp:lastPrinted>2019-04-24T11:07:00Z</cp:lastPrinted>
  <dcterms:created xsi:type="dcterms:W3CDTF">2019-07-04T12:45:00Z</dcterms:created>
  <dcterms:modified xsi:type="dcterms:W3CDTF">2019-07-04T12:52:00Z</dcterms:modified>
</cp:coreProperties>
</file>